
<file path=[Content_Types].xml><?xml version="1.0" encoding="utf-8"?>
<Types xmlns="http://schemas.openxmlformats.org/package/2006/content-types">
  <Override PartName="/word/charts/chart25.xml" ContentType="application/vnd.openxmlformats-officedocument.drawingml.chart+xml"/>
  <Override PartName="/word/charts/chart30.xml" ContentType="application/vnd.openxmlformats-officedocument.drawingml.chart+xml"/>
  <Override PartName="/word/charts/chart1.xml" ContentType="application/vnd.openxmlformats-officedocument.drawingml.chart+xml"/>
  <Default Extension="png" ContentType="image/png"/>
  <Override PartName="/word/charts/chart11.xml" ContentType="application/vnd.openxmlformats-officedocument.drawingml.chart+xml"/>
  <Override PartName="/word/document.xml" ContentType="application/vnd.openxmlformats-officedocument.wordprocessingml.document.main+xml"/>
  <Default Extension="jpeg" ContentType="image/jpeg"/>
  <Override PartName="/word/charts/chart23.xml" ContentType="application/vnd.openxmlformats-officedocument.drawingml.chart+xml"/>
  <Default Extension="xml" ContentType="application/xml"/>
  <Default Extension="rels" ContentType="application/vnd.openxmlformats-package.relationships+xml"/>
  <Override PartName="/word/charts/chart8.xml" ContentType="application/vnd.openxmlformats-officedocument.drawingml.chart+xml"/>
  <Override PartName="/word/charts/chart21.xml" ContentType="application/vnd.openxmlformats-officedocument.drawingml.chart+xml"/>
  <Override PartName="/word/charts/chart18.xml" ContentType="application/vnd.openxmlformats-officedocument.drawingml.chart+xml"/>
  <Override PartName="/word/charts/chart35.xml" ContentType="application/vnd.openxmlformats-officedocument.drawingml.chart+xml"/>
  <Override PartName="/word/charts/chart6.xml" ContentType="application/vnd.openxmlformats-officedocument.drawingml.chart+xml"/>
  <Override PartName="/word/charts/chart16.xml" ContentType="application/vnd.openxmlformats-officedocument.drawingml.chart+xml"/>
  <Override PartName="/word/webSettings.xml" ContentType="application/vnd.openxmlformats-officedocument.wordprocessingml.webSettings+xml"/>
  <Override PartName="/word/charts/chart28.xml" ContentType="application/vnd.openxmlformats-officedocument.drawingml.chart+xml"/>
  <Override PartName="/word/charts/chart33.xml" ContentType="application/vnd.openxmlformats-officedocument.drawingml.chart+xml"/>
  <Override PartName="/word/charts/chart4.xml" ContentType="application/vnd.openxmlformats-officedocument.drawingml.chart+xml"/>
  <Override PartName="/word/settings.xml" ContentType="application/vnd.openxmlformats-officedocument.wordprocessingml.settings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charts/chart26.xml" ContentType="application/vnd.openxmlformats-officedocument.drawingml.chart+xml"/>
  <Override PartName="/word/charts/chart31.xml" ContentType="application/vnd.openxmlformats-officedocument.drawingml.char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charts/chart24.xml" ContentType="application/vnd.openxmlformats-officedocument.drawingml.chart+xml"/>
  <Override PartName="/word/fontTable.xml" ContentType="application/vnd.openxmlformats-officedocument.wordprocessingml.fontTable+xml"/>
  <Override PartName="/word/charts/chart10.xml" ContentType="application/vnd.openxmlformats-officedocument.drawingml.chart+xml"/>
  <Override PartName="/word/charts/chart9.xml" ContentType="application/vnd.openxmlformats-officedocument.drawingml.chart+xml"/>
  <Override PartName="/word/charts/chart22.xml" ContentType="application/vnd.openxmlformats-officedocument.drawingml.chart+xml"/>
  <Override PartName="/word/charts/chart19.xml" ContentType="application/vnd.openxmlformats-officedocument.drawingml.chart+xml"/>
  <Override PartName="/word/charts/chart7.xml" ContentType="application/vnd.openxmlformats-officedocument.drawingml.chart+xml"/>
  <Override PartName="/word/charts/chart20.xml" ContentType="application/vnd.openxmlformats-officedocument.drawingml.chart+xml"/>
  <Override PartName="/word/charts/chart17.xml" ContentType="application/vnd.openxmlformats-officedocument.drawingml.chart+xml"/>
  <Override PartName="/word/charts/chart29.xml" ContentType="application/vnd.openxmlformats-officedocument.drawingml.chart+xml"/>
  <Override PartName="/word/charts/chart3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chart27.xml" ContentType="application/vnd.openxmlformats-officedocument.drawingml.chart+xml"/>
  <Override PartName="/word/charts/chart3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B54D7" w:rsidRDefault="00491F85">
      <w:pPr>
        <w:pStyle w:val="Body"/>
      </w:pPr>
      <w:r>
        <w:rPr>
          <w:noProof/>
        </w:rPr>
        <w:drawing>
          <wp:anchor distT="152400" distB="152400" distL="152400" distR="152400" simplePos="0" relativeHeight="251696128" behindDoc="0" locked="0" layoutInCell="1" allowOverlap="1">
            <wp:simplePos x="0" y="0"/>
            <wp:positionH relativeFrom="margin">
              <wp:posOffset>2266628</wp:posOffset>
            </wp:positionH>
            <wp:positionV relativeFrom="page">
              <wp:posOffset>114300</wp:posOffset>
            </wp:positionV>
            <wp:extent cx="1574099" cy="10238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ure-safari-your-logo-her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99" cy="10238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54D7" w:rsidRDefault="004B54D7">
      <w:pPr>
        <w:pStyle w:val="Body"/>
      </w:pPr>
    </w:p>
    <w:p w:rsidR="004B54D7" w:rsidRDefault="004B54D7">
      <w:pPr>
        <w:pStyle w:val="Body"/>
      </w:pPr>
    </w:p>
    <w:p w:rsidR="004B54D7" w:rsidRDefault="004B54D7">
      <w:pPr>
        <w:pStyle w:val="Body"/>
      </w:pPr>
    </w:p>
    <w:p w:rsidR="004B54D7" w:rsidRDefault="004B54D7">
      <w:pPr>
        <w:pStyle w:val="Body"/>
      </w:pPr>
    </w:p>
    <w:p w:rsidR="004B54D7" w:rsidRDefault="00491F85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ACME Staff Survey Results</w:t>
      </w:r>
    </w:p>
    <w:p w:rsidR="004B54D7" w:rsidRDefault="004B54D7">
      <w:pPr>
        <w:pStyle w:val="Body"/>
        <w:jc w:val="center"/>
        <w:rPr>
          <w:b/>
          <w:bCs/>
          <w:sz w:val="26"/>
          <w:szCs w:val="26"/>
        </w:rPr>
      </w:pPr>
    </w:p>
    <w:p w:rsidR="004B54D7" w:rsidRDefault="004B54D7">
      <w:pPr>
        <w:pStyle w:val="Body"/>
        <w:jc w:val="center"/>
        <w:rPr>
          <w:b/>
          <w:bCs/>
          <w:sz w:val="26"/>
          <w:szCs w:val="26"/>
        </w:rPr>
      </w:pPr>
    </w:p>
    <w:p w:rsidR="004B54D7" w:rsidRDefault="00491F85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Four Essenti</w:t>
      </w:r>
      <w:r>
        <w:rPr>
          <w:noProof/>
        </w:rPr>
        <w:drawing>
          <wp:anchor distT="152400" distB="152400" distL="152400" distR="152400" simplePos="0" relativeHeight="251693056" behindDoc="0" locked="0" layoutInCell="1" allowOverlap="1">
            <wp:simplePos x="0" y="0"/>
            <wp:positionH relativeFrom="page">
              <wp:posOffset>2077558</wp:posOffset>
            </wp:positionH>
            <wp:positionV relativeFrom="page">
              <wp:posOffset>8122875</wp:posOffset>
            </wp:positionV>
            <wp:extent cx="3430339" cy="1844524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="004B54D7" w:rsidRPr="004B54D7"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92.8pt;margin-top:371.4pt;width:409.9pt;height:227.5pt;z-index:251694080;visibility:visible;mso-wrap-distance-left:0;mso-wrap-distance-top:0;mso-wrap-distance-right:0;mso-wrap-distance-bottom:0;mso-position-horizontal:absolute;mso-position-horizontal-relative:page;mso-position-vertical:absolute;mso-position-vertical-relative:page" filled="f" stroked="f" strokeweight=".8pt">
            <v:stroke joinstyle="round"/>
            <v:textbox>
              <w:txbxContent>
                <w:tbl>
                  <w:tblPr>
                    <w:tblW w:w="8192" w:type="dxa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4A0"/>
                  </w:tblPr>
                  <w:tblGrid>
                    <w:gridCol w:w="4096"/>
                    <w:gridCol w:w="4096"/>
                  </w:tblGrid>
                  <w:tr w:rsidR="004B54D7">
                    <w:trPr>
                      <w:trHeight w:val="285"/>
                    </w:trPr>
                    <w:tc>
                      <w:tcPr>
                        <w:tcW w:w="8192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  <w:jc w:val="center"/>
                        </w:pPr>
                        <w:r>
                          <w:rPr>
                            <w:b/>
                            <w:bCs/>
                            <w:color w:val="FEFFFF"/>
                            <w:sz w:val="24"/>
                            <w:szCs w:val="24"/>
                          </w:rPr>
                          <w:t>The Impact of the Four Essentials</w:t>
                        </w:r>
                      </w:p>
                    </w:tc>
                  </w:tr>
                  <w:tr w:rsidR="004B54D7">
                    <w:trPr>
                      <w:trHeight w:val="230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Low Trust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High Trust</w:t>
                        </w:r>
                      </w:p>
                    </w:tc>
                  </w:tr>
                  <w:tr w:rsidR="004B54D7">
                    <w:trPr>
                      <w:trHeight w:val="462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Backbiting, infighting, </w:t>
                        </w:r>
                        <w:r>
                          <w:rPr>
                            <w:sz w:val="18"/>
                            <w:szCs w:val="18"/>
                          </w:rPr>
                          <w:t>victimism, defensiveness, not sharing information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Collaboration, mutual support, openness, sharing information</w:t>
                        </w:r>
                      </w:p>
                    </w:tc>
                  </w:tr>
                  <w:tr w:rsidR="004B54D7">
                    <w:trPr>
                      <w:trHeight w:val="230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No Clear Purpose/Vision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Clear Purpose/Vision</w:t>
                        </w:r>
                      </w:p>
                    </w:tc>
                  </w:tr>
                  <w:tr w:rsidR="004B54D7">
                    <w:trPr>
                      <w:trHeight w:val="452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Ambiguity, hidden agenda, political games, chaos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Clarity, togetherness, one team, alignment</w:t>
                        </w:r>
                      </w:p>
                    </w:tc>
                  </w:tr>
                  <w:tr w:rsidR="004B54D7">
                    <w:trPr>
                      <w:trHeight w:val="230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Under-utilised Talent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Unleashed Talent</w:t>
                        </w:r>
                      </w:p>
                    </w:tc>
                  </w:tr>
                  <w:tr w:rsidR="004B54D7">
                    <w:trPr>
                      <w:trHeight w:val="485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Apathy, moonlighting, daydreaming, boredom, anger, fear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Engagement, commitment, motivation, enjoyment</w:t>
                        </w:r>
                      </w:p>
                    </w:tc>
                  </w:tr>
                  <w:tr w:rsidR="004B54D7">
                    <w:trPr>
                      <w:trHeight w:val="245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Bureaucratic Misaligned Systems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636397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b/>
                            <w:bCs/>
                            <w:color w:val="FEFFFF"/>
                            <w:sz w:val="18"/>
                            <w:szCs w:val="18"/>
                          </w:rPr>
                          <w:t>Aligned Systems</w:t>
                        </w:r>
                      </w:p>
                    </w:tc>
                  </w:tr>
                  <w:tr w:rsidR="004B54D7">
                    <w:trPr>
                      <w:trHeight w:val="485"/>
                    </w:trPr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Silos interdepartmental rivalry, competing objectives</w:t>
                        </w:r>
                      </w:p>
                    </w:tc>
                    <w:tc>
                      <w:tcPr>
                        <w:tcW w:w="409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tcMar>
                          <w:top w:w="80" w:type="dxa"/>
                          <w:left w:w="80" w:type="dxa"/>
                          <w:bottom w:w="80" w:type="dxa"/>
                          <w:right w:w="80" w:type="dxa"/>
                        </w:tcMar>
                      </w:tcPr>
                      <w:p w:rsidR="004B54D7" w:rsidRDefault="00491F85">
                        <w:pPr>
                          <w:pStyle w:val="TableStyle2"/>
                        </w:pPr>
                        <w:r>
                          <w:rPr>
                            <w:sz w:val="18"/>
                            <w:szCs w:val="18"/>
                          </w:rPr>
                          <w:t>Efficiency, one team, productivity, mutual support</w:t>
                        </w:r>
                      </w:p>
                    </w:tc>
                  </w:tr>
                </w:tbl>
                <w:p w:rsidR="004B54D7" w:rsidRDefault="004B54D7"/>
              </w:txbxContent>
            </v:textbox>
            <w10:wrap type="topAndBottom" anchorx="page" anchory="page"/>
          </v:shape>
        </w:pict>
      </w:r>
      <w:r>
        <w:rPr>
          <w:b/>
          <w:bCs/>
          <w:sz w:val="26"/>
          <w:szCs w:val="26"/>
        </w:rPr>
        <w:t>als of a Successful Organisation</w:t>
      </w:r>
      <w:r>
        <w:rPr>
          <w:b/>
          <w:bCs/>
          <w:noProof/>
          <w:sz w:val="26"/>
          <w:szCs w:val="26"/>
        </w:rPr>
        <w:drawing>
          <wp:anchor distT="152400" distB="152400" distL="152400" distR="152400" simplePos="0" relativeHeight="251692032" behindDoc="0" locked="0" layoutInCell="1" allowOverlap="1">
            <wp:simplePos x="0" y="0"/>
            <wp:positionH relativeFrom="margin">
              <wp:posOffset>1613023</wp:posOffset>
            </wp:positionH>
            <wp:positionV relativeFrom="line">
              <wp:posOffset>212377</wp:posOffset>
            </wp:positionV>
            <wp:extent cx="2403829" cy="2049350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reen Shot 2017-05-04 at 17.51.1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t="5732"/>
                    <a:stretch>
                      <a:fillRect/>
                    </a:stretch>
                  </pic:blipFill>
                  <pic:spPr>
                    <a:xfrm>
                      <a:off x="0" y="0"/>
                      <a:ext cx="2403829" cy="2049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54D7" w:rsidRDefault="004B54D7">
      <w:pPr>
        <w:pStyle w:val="Body"/>
        <w:jc w:val="center"/>
      </w:pPr>
    </w:p>
    <w:p w:rsidR="004B54D7" w:rsidRDefault="00491F85">
      <w:pPr>
        <w:pStyle w:val="Body"/>
        <w:jc w:val="center"/>
        <w:rPr>
          <w:b/>
          <w:bCs/>
        </w:rPr>
      </w:pPr>
      <w:r>
        <w:rPr>
          <w:b/>
          <w:bCs/>
        </w:rPr>
        <w:t>Results Summary</w:t>
      </w: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91F85">
      <w:pPr>
        <w:pStyle w:val="Body"/>
        <w:jc w:val="center"/>
        <w:rPr>
          <w:b/>
          <w:bCs/>
        </w:rPr>
      </w:pPr>
      <w:r>
        <w:rPr>
          <w:b/>
          <w:bCs/>
        </w:rPr>
        <w:t>The 5 Critical Elements of Successf</w:t>
      </w:r>
      <w:r>
        <w:rPr>
          <w:noProof/>
        </w:rPr>
        <w:drawing>
          <wp:anchor distT="152400" distB="152400" distL="152400" distR="152400" simplePos="0" relativeHeight="251698176" behindDoc="0" locked="0" layoutInCell="1" allowOverlap="1">
            <wp:simplePos x="0" y="0"/>
            <wp:positionH relativeFrom="page">
              <wp:posOffset>1750394</wp:posOffset>
            </wp:positionH>
            <wp:positionV relativeFrom="page">
              <wp:posOffset>4884375</wp:posOffset>
            </wp:positionV>
            <wp:extent cx="3744803" cy="1844524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b/>
          <w:bCs/>
        </w:rPr>
        <w:t>ul Teams</w:t>
      </w:r>
      <w:r>
        <w:rPr>
          <w:b/>
          <w:bCs/>
          <w:noProof/>
        </w:rPr>
        <w:drawing>
          <wp:anchor distT="152400" distB="152400" distL="152400" distR="152400" simplePos="0" relativeHeight="251697152" behindDoc="0" locked="0" layoutInCell="1" allowOverlap="1">
            <wp:simplePos x="0" y="0"/>
            <wp:positionH relativeFrom="margin">
              <wp:posOffset>515975</wp:posOffset>
            </wp:positionH>
            <wp:positionV relativeFrom="line">
              <wp:posOffset>257899</wp:posOffset>
            </wp:positionV>
            <wp:extent cx="5075406" cy="2602606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creen Shot 2017-10-30 at 18.05.18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406" cy="26026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</w:pPr>
    </w:p>
    <w:p w:rsidR="004B54D7" w:rsidRDefault="00491F85">
      <w:pPr>
        <w:pStyle w:val="Body"/>
        <w:jc w:val="center"/>
        <w:rPr>
          <w:b/>
          <w:bCs/>
        </w:rPr>
      </w:pPr>
      <w:r>
        <w:rPr>
          <w:b/>
          <w:bCs/>
        </w:rPr>
        <w:t>Results Summary</w:t>
      </w: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91F85">
      <w:pPr>
        <w:pStyle w:val="Body"/>
        <w:jc w:val="center"/>
      </w:pPr>
      <w:r>
        <w:rPr>
          <w:rFonts w:ascii="Arial Unicode MS" w:eastAsia="Arial Unicode MS" w:hAnsi="Arial Unicode MS" w:cs="Arial Unicode MS"/>
        </w:rPr>
        <w:br w:type="page"/>
      </w: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91F85">
      <w:pPr>
        <w:pStyle w:val="Body"/>
        <w:rPr>
          <w:b/>
          <w:bCs/>
        </w:rPr>
      </w:pPr>
      <w:r>
        <w:rPr>
          <w:b/>
          <w:bCs/>
        </w:rPr>
        <w:t>Overall Results</w:t>
      </w:r>
    </w:p>
    <w:p w:rsidR="004B54D7" w:rsidRDefault="00491F85">
      <w:pPr>
        <w:pStyle w:val="Body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52400" distR="152400" simplePos="0" relativeHeight="251695104" behindDoc="0" locked="0" layoutInCell="1" allowOverlap="1">
            <wp:simplePos x="0" y="0"/>
            <wp:positionH relativeFrom="margin">
              <wp:posOffset>2000596</wp:posOffset>
            </wp:positionH>
            <wp:positionV relativeFrom="line">
              <wp:posOffset>347978</wp:posOffset>
            </wp:positionV>
            <wp:extent cx="5842096" cy="6120057"/>
            <wp:effectExtent l="0" t="0" r="0" b="0"/>
            <wp:wrapTopAndBottom distT="0" distB="0"/>
            <wp:docPr id="1073741831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B54D7">
      <w:pPr>
        <w:pStyle w:val="Body"/>
        <w:jc w:val="center"/>
        <w:rPr>
          <w:b/>
          <w:bCs/>
        </w:rPr>
      </w:pPr>
    </w:p>
    <w:p w:rsidR="004B54D7" w:rsidRDefault="00491F85">
      <w:pPr>
        <w:pStyle w:val="Body"/>
        <w:jc w:val="center"/>
      </w:pPr>
      <w:r>
        <w:rPr>
          <w:rFonts w:ascii="Arial Unicode MS" w:eastAsia="Arial Unicode MS" w:hAnsi="Arial Unicode MS" w:cs="Arial Unicode MS"/>
        </w:rPr>
        <w:br w:type="page"/>
      </w:r>
    </w:p>
    <w:p w:rsidR="004B54D7" w:rsidRDefault="004B54D7">
      <w:pPr>
        <w:pStyle w:val="Body"/>
      </w:pPr>
    </w:p>
    <w:p w:rsidR="004B54D7" w:rsidRDefault="004B54D7">
      <w:pPr>
        <w:pStyle w:val="Body"/>
      </w:pPr>
    </w:p>
    <w:p w:rsidR="004B54D7" w:rsidRDefault="00491F85">
      <w:pPr>
        <w:pStyle w:val="Default"/>
        <w:ind w:left="227" w:hanging="227"/>
        <w:rPr>
          <w:rFonts w:ascii="Arial" w:eastAsia="Arial" w:hAnsi="Arial" w:cs="Arial"/>
        </w:rPr>
      </w:pPr>
      <w:r>
        <w:rPr>
          <w:rFonts w:ascii="Arial" w:hAnsi="Arial"/>
        </w:rPr>
        <w:t>1. Our work culture is one where we openly invite</w:t>
      </w:r>
      <w:r>
        <w:rPr>
          <w:rFonts w:ascii="Arial" w:hAnsi="Arial"/>
        </w:rPr>
        <w:t xml:space="preserve"> feedback from each other about how we are performing.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942429</wp:posOffset>
            </wp:positionH>
            <wp:positionV relativeFrom="line">
              <wp:posOffset>717639</wp:posOffset>
            </wp:positionV>
            <wp:extent cx="4681715" cy="609600"/>
            <wp:effectExtent l="0" t="0" r="0" b="0"/>
            <wp:wrapTopAndBottom distT="0" distB="0"/>
            <wp:docPr id="1073741832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4.10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Body"/>
      </w:pPr>
    </w:p>
    <w:p w:rsidR="004B54D7" w:rsidRDefault="00491F85">
      <w:pPr>
        <w:pStyle w:val="Default"/>
        <w:ind w:left="227" w:hanging="227"/>
        <w:rPr>
          <w:rFonts w:ascii="Arial" w:eastAsia="Arial" w:hAnsi="Arial" w:cs="Arial"/>
        </w:rPr>
      </w:pPr>
      <w:r>
        <w:rPr>
          <w:rFonts w:ascii="Arial" w:hAnsi="Arial"/>
        </w:rPr>
        <w:t>2. We are all very clear about our objectives and priorities.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942429</wp:posOffset>
            </wp:positionH>
            <wp:positionV relativeFrom="line">
              <wp:posOffset>717639</wp:posOffset>
            </wp:positionV>
            <wp:extent cx="4681715" cy="609600"/>
            <wp:effectExtent l="0" t="0" r="0" b="0"/>
            <wp:wrapTopAndBottom distT="0" distB="0"/>
            <wp:docPr id="1073741833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Rarely </w:t>
            </w:r>
            <w:r>
              <w:rPr>
                <w:rFonts w:ascii="Arial" w:hAnsi="Arial"/>
                <w:sz w:val="18"/>
                <w:szCs w:val="18"/>
              </w:rPr>
              <w:t>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3.76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ind w:left="227" w:hanging="227"/>
        <w:rPr>
          <w:rFonts w:ascii="Arial" w:eastAsia="Arial" w:hAnsi="Arial" w:cs="Arial"/>
        </w:rPr>
      </w:pPr>
      <w:r>
        <w:rPr>
          <w:rFonts w:ascii="Arial" w:hAnsi="Arial"/>
        </w:rPr>
        <w:t>3. We leave meetings feeling secure that all members are dedicated to the decisions that were agreed upon.</w:t>
      </w:r>
      <w:r>
        <w:rPr>
          <w:rFonts w:ascii="Arial Unicode MS" w:hAnsi="Arial Unicode MS"/>
        </w:rPr>
        <w:br/>
      </w:r>
      <w:r>
        <w:rPr>
          <w:rFonts w:ascii="Arial" w:eastAsia="Arial" w:hAnsi="Arial" w:cs="Arial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973500</wp:posOffset>
            </wp:positionH>
            <wp:positionV relativeFrom="line">
              <wp:posOffset>717639</wp:posOffset>
            </wp:positionV>
            <wp:extent cx="4681715" cy="609600"/>
            <wp:effectExtent l="0" t="0" r="0" b="0"/>
            <wp:wrapTopAndBottom distT="0" distB="0"/>
            <wp:docPr id="1073741834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Almost </w:t>
            </w:r>
            <w:r>
              <w:rPr>
                <w:rFonts w:ascii="Arial" w:hAnsi="Arial"/>
                <w:sz w:val="18"/>
                <w:szCs w:val="18"/>
              </w:rPr>
              <w:t>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3.71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4. We value organisation success more than individual achievement.</w:t>
      </w:r>
      <w:r>
        <w:rPr>
          <w:rFonts w:ascii="Arial Unicode MS" w:hAnsi="Arial Unicode MS"/>
        </w:rPr>
        <w:br/>
      </w:r>
      <w:r>
        <w:rPr>
          <w:rFonts w:ascii="Arial" w:eastAsia="Arial" w:hAnsi="Arial" w:cs="Arial"/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973500</wp:posOffset>
            </wp:positionH>
            <wp:positionV relativeFrom="line">
              <wp:posOffset>722719</wp:posOffset>
            </wp:positionV>
            <wp:extent cx="4681715" cy="609600"/>
            <wp:effectExtent l="0" t="0" r="0" b="0"/>
            <wp:wrapTopAndBottom distT="0" distB="0"/>
            <wp:docPr id="107374183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3.76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5. When we fail to reach our </w:t>
      </w:r>
      <w:r>
        <w:rPr>
          <w:rFonts w:ascii="Arial" w:hAnsi="Arial"/>
        </w:rPr>
        <w:t>organisation goals, each of us feels a personal responsibility to improve the performance of our group.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717639</wp:posOffset>
            </wp:positionV>
            <wp:extent cx="4681715" cy="609600"/>
            <wp:effectExtent l="0" t="0" r="0" b="0"/>
            <wp:wrapTopAndBottom distT="0" distB="0"/>
            <wp:docPr id="107374183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3.86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</w:pPr>
      <w:r>
        <w:rPr>
          <w:rFonts w:ascii="Arial Unicode MS" w:hAnsi="Arial Unicode MS"/>
        </w:rPr>
        <w:br w:type="page"/>
      </w: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6. We have clear and open discussions </w:t>
      </w:r>
      <w:r>
        <w:rPr>
          <w:rFonts w:ascii="Arial" w:hAnsi="Arial"/>
        </w:rPr>
        <w:t>with our leader(s) about what is expected.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717639</wp:posOffset>
            </wp:positionV>
            <wp:extent cx="4681715" cy="609600"/>
            <wp:effectExtent l="0" t="0" r="0" b="0"/>
            <wp:wrapTopAndBottom distT="0" distB="0"/>
            <wp:docPr id="1073741837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4.00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7. We are all involved is setting the vision and direction of our organisation.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730339</wp:posOffset>
            </wp:positionV>
            <wp:extent cx="4681715" cy="609600"/>
            <wp:effectExtent l="0" t="0" r="0" b="0"/>
            <wp:wrapTopAndBottom distT="0" distB="0"/>
            <wp:docPr id="1073741838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3.52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8. We are directly focused on meeting the needs and desires of our end users and/or customers.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730339</wp:posOffset>
            </wp:positionV>
            <wp:extent cx="4681715" cy="609600"/>
            <wp:effectExtent l="0" t="0" r="0" b="0"/>
            <wp:wrapTopAndBottom distT="0" distB="0"/>
            <wp:docPr id="1073741839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Almost </w:t>
            </w:r>
            <w:r>
              <w:rPr>
                <w:rFonts w:ascii="Arial" w:hAnsi="Arial"/>
                <w:sz w:val="18"/>
                <w:szCs w:val="18"/>
              </w:rPr>
              <w:t>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3.57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9. Our team members each understand how they impact the organisations financial success.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730339</wp:posOffset>
            </wp:positionV>
            <wp:extent cx="4681715" cy="609600"/>
            <wp:effectExtent l="0" t="0" r="0" b="0"/>
            <wp:wrapTopAndBottom distT="0" distB="0"/>
            <wp:docPr id="1073741840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3.71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10. We </w:t>
      </w:r>
      <w:r>
        <w:rPr>
          <w:rFonts w:ascii="Arial" w:hAnsi="Arial"/>
        </w:rPr>
        <w:t>have clear measures that track our progress on the key performance indicators.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730339</wp:posOffset>
            </wp:positionV>
            <wp:extent cx="4681715" cy="609600"/>
            <wp:effectExtent l="0" t="0" r="0" b="0"/>
            <wp:wrapTopAndBottom distT="0" distB="0"/>
            <wp:docPr id="1073741841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3.38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</w:pPr>
      <w:r>
        <w:rPr>
          <w:rFonts w:ascii="Arial Unicode MS" w:hAnsi="Arial Unicode MS"/>
        </w:rPr>
        <w:br w:type="page"/>
      </w: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11. People are recognised and rewarded for performance.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730339</wp:posOffset>
            </wp:positionV>
            <wp:extent cx="4681715" cy="609600"/>
            <wp:effectExtent l="0" t="0" r="0" b="0"/>
            <wp:wrapTopAndBottom distT="0" distB="0"/>
            <wp:docPr id="1073741842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2.86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12. The right people are in the right job.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730339</wp:posOffset>
            </wp:positionV>
            <wp:extent cx="4681715" cy="609600"/>
            <wp:effectExtent l="0" t="0" r="0" b="0"/>
            <wp:wrapTopAndBottom distT="0" distB="0"/>
            <wp:docPr id="1073741843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3.90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13. We routinely use feed back from our customers/end user to improve our performance.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743039</wp:posOffset>
            </wp:positionV>
            <wp:extent cx="4681715" cy="609600"/>
            <wp:effectExtent l="0" t="0" r="0" b="0"/>
            <wp:wrapTopAndBottom distT="0" distB="0"/>
            <wp:docPr id="1073741844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3.29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14. We create new systems and processes that </w:t>
      </w:r>
      <w:r>
        <w:rPr>
          <w:rFonts w:ascii="Arial" w:hAnsi="Arial"/>
        </w:rPr>
        <w:t>help us to do our work better.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4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3.81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15. People are paid fairly for the work they do.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4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Almost </w:t>
            </w:r>
            <w:r>
              <w:rPr>
                <w:rFonts w:ascii="Arial" w:hAnsi="Arial"/>
                <w:sz w:val="18"/>
                <w:szCs w:val="18"/>
              </w:rPr>
              <w:t>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3.19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</w:pPr>
      <w:r>
        <w:rPr>
          <w:rFonts w:ascii="Arial Unicode MS" w:hAnsi="Arial Unicode MS"/>
        </w:rPr>
        <w:br w:type="page"/>
      </w: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16. Do I know what is expected of me at work?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47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4.29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17. Do I have the materials and equipment I need</w:t>
      </w:r>
      <w:r>
        <w:rPr>
          <w:rFonts w:ascii="Arial" w:hAnsi="Arial"/>
        </w:rPr>
        <w:t xml:space="preserve"> to do my work right?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48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4.00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18. At work, do I have the opportunity to do what I do best everyday?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49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</w:t>
            </w:r>
            <w:r>
              <w:rPr>
                <w:rFonts w:ascii="Arial" w:hAnsi="Arial"/>
                <w:sz w:val="18"/>
                <w:szCs w:val="18"/>
              </w:rPr>
              <w:t xml:space="preserve">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3.52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19. Does my supervisor, or someone at work, seem to care about me as a person?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50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4.14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20. Is</w:t>
      </w:r>
      <w:r>
        <w:rPr>
          <w:rFonts w:ascii="Arial" w:hAnsi="Arial"/>
        </w:rPr>
        <w:t xml:space="preserve"> there someone at work who encourages my development?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51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3.57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</w:pPr>
      <w:r>
        <w:rPr>
          <w:rFonts w:ascii="Arial Unicode MS" w:hAnsi="Arial Unicode MS"/>
        </w:rPr>
        <w:br w:type="page"/>
      </w: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21. At work, do my opinions seem to count?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768439</wp:posOffset>
            </wp:positionV>
            <wp:extent cx="4681715" cy="609600"/>
            <wp:effectExtent l="0" t="0" r="0" b="0"/>
            <wp:wrapTopAndBottom distT="0" distB="0"/>
            <wp:docPr id="1073741852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3.76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22. Does the mission/purpose of my company make me feel like my work is important?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755739</wp:posOffset>
            </wp:positionV>
            <wp:extent cx="4681715" cy="609600"/>
            <wp:effectExtent l="0" t="0" r="0" b="0"/>
            <wp:wrapTopAndBottom distT="0" distB="0"/>
            <wp:docPr id="1073741853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4.43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23. Are my co-workers committed to doing quality work?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768439</wp:posOffset>
            </wp:positionV>
            <wp:extent cx="4681715" cy="609600"/>
            <wp:effectExtent l="0" t="0" r="0" b="0"/>
            <wp:wrapTopAndBottom distT="0" distB="0"/>
            <wp:docPr id="1073741854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4.38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24. In the last six months, have I talked with someone about my progress?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55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3.38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25. At work, have I had opportunities to learn and grow?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56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3.90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</w:pPr>
      <w:r>
        <w:rPr>
          <w:rFonts w:ascii="Arial Unicode MS" w:hAnsi="Arial Unicode MS"/>
        </w:rPr>
        <w:br w:type="page"/>
      </w: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26. We have clear measures established to progress on our goal.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57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3.81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27. We have an environment that enables people to achieve</w:t>
      </w:r>
      <w:r>
        <w:rPr>
          <w:rFonts w:ascii="Arial" w:hAnsi="Arial"/>
        </w:rPr>
        <w:t xml:space="preserve"> their highest potential.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58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3.38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28. It is easy to talk it over with our leaders if something goes wrong?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59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3.81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29. We receive positive and developmental feedback.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margin">
              <wp:posOffset>953781</wp:posOffset>
            </wp:positionH>
            <wp:positionV relativeFrom="line">
              <wp:posOffset>814058</wp:posOffset>
            </wp:positionV>
            <wp:extent cx="4681715" cy="609600"/>
            <wp:effectExtent l="0" t="0" r="0" b="0"/>
            <wp:wrapTopAndBottom distT="0" distB="0"/>
            <wp:docPr id="1073741860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3.38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30. I am given </w:t>
      </w:r>
      <w:r>
        <w:rPr>
          <w:rFonts w:ascii="Arial" w:hAnsi="Arial"/>
        </w:rPr>
        <w:t>opportunities for ongoing learning and development needed to do my job well.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8960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61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2.95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</w:pPr>
      <w:r>
        <w:rPr>
          <w:rFonts w:ascii="Arial Unicode MS" w:hAnsi="Arial Unicode MS"/>
        </w:rPr>
        <w:br w:type="page"/>
      </w: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32. Our Leader(s) are seen as a source of help and support.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62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3.00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33. We often challenge existing practices with creative alternatives.</w:t>
      </w:r>
    </w:p>
    <w:p w:rsidR="004B54D7" w:rsidRDefault="00491F85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margin">
              <wp:posOffset>807731</wp:posOffset>
            </wp:positionH>
            <wp:positionV relativeFrom="line">
              <wp:posOffset>781139</wp:posOffset>
            </wp:positionV>
            <wp:extent cx="4681715" cy="609600"/>
            <wp:effectExtent l="0" t="0" r="0" b="0"/>
            <wp:wrapTopAndBottom distT="0" distB="0"/>
            <wp:docPr id="1073741863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anchor>
        </w:drawing>
      </w:r>
    </w:p>
    <w:tbl>
      <w:tblPr>
        <w:tblW w:w="9638" w:type="dxa"/>
        <w:tblInd w:w="10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4A0"/>
      </w:tblPr>
      <w:tblGrid>
        <w:gridCol w:w="410"/>
        <w:gridCol w:w="1538"/>
        <w:gridCol w:w="1538"/>
        <w:gridCol w:w="1538"/>
        <w:gridCol w:w="1538"/>
        <w:gridCol w:w="1538"/>
        <w:gridCol w:w="1538"/>
      </w:tblGrid>
      <w:tr w:rsidR="004B54D7">
        <w:trPr>
          <w:trHeight w:val="320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Never (1)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Rarely (2)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Sometimes (3)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Usually (4)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Almost Always (5)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Rating Average</w:t>
            </w:r>
          </w:p>
        </w:tc>
      </w:tr>
      <w:tr w:rsidR="004B54D7">
        <w:trPr>
          <w:trHeight w:val="288"/>
        </w:trPr>
        <w:tc>
          <w:tcPr>
            <w:tcW w:w="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B54D7"/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40" w:type="dxa"/>
              <w:right w:w="40" w:type="dxa"/>
            </w:tcMar>
            <w:vAlign w:val="center"/>
          </w:tcPr>
          <w:p w:rsidR="004B54D7" w:rsidRDefault="00491F85">
            <w:pPr>
              <w:pStyle w:val="TableStyle2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3.81</w:t>
            </w:r>
          </w:p>
        </w:tc>
      </w:tr>
    </w:tbl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  <w:rPr>
          <w:rFonts w:ascii="Arial" w:eastAsia="Arial" w:hAnsi="Arial" w:cs="Arial"/>
        </w:rPr>
      </w:pPr>
    </w:p>
    <w:p w:rsidR="004B54D7" w:rsidRDefault="004B54D7">
      <w:pPr>
        <w:pStyle w:val="Default"/>
      </w:pPr>
    </w:p>
    <w:sectPr w:rsidR="004B54D7" w:rsidSect="004B54D7">
      <w:headerReference w:type="default" r:id="rId42"/>
      <w:footerReference w:type="default" r:id="rId43"/>
      <w:pgSz w:w="11906" w:h="16838"/>
      <w:pgMar w:top="1134" w:right="1134" w:bottom="0" w:left="1134" w:header="709" w:footer="3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D7" w:rsidRDefault="00491F85">
    <w:pPr>
      <w:pStyle w:val="HeaderFooter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>May 2017</w:t>
    </w:r>
    <w:r>
      <w:rPr>
        <w:sz w:val="20"/>
        <w:szCs w:val="20"/>
      </w:rPr>
      <w:tab/>
    </w:r>
    <w:r>
      <w:rPr>
        <w:sz w:val="20"/>
        <w:szCs w:val="20"/>
      </w:rPr>
      <w:t xml:space="preserve">Page </w:t>
    </w:r>
    <w:r w:rsidR="004B54D7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4B54D7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="004B54D7"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 w:rsidR="004B54D7"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 w:rsidR="004B54D7">
      <w:rPr>
        <w:sz w:val="20"/>
        <w:szCs w:val="20"/>
      </w:rPr>
      <w:fldChar w:fldCharType="separate"/>
    </w:r>
    <w:r>
      <w:rPr>
        <w:noProof/>
        <w:sz w:val="20"/>
        <w:szCs w:val="20"/>
      </w:rPr>
      <w:t>17</w:t>
    </w:r>
    <w:r w:rsidR="004B54D7">
      <w:rPr>
        <w:sz w:val="20"/>
        <w:szCs w:val="20"/>
      </w:rPr>
      <w:fldChar w:fldCharType="end"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D7" w:rsidRDefault="004B54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formatting="0"/>
  <w:doNotTrackMoves/>
  <w:defaultTabStop w:val="720"/>
  <w:characterSpacingControl w:val="doNotCompress"/>
  <w:compat/>
  <w:rsids>
    <w:rsidRoot w:val="004B54D7"/>
    <w:rsid w:val="00491F85"/>
    <w:rsid w:val="004B54D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B54D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4B54D7"/>
    <w:rPr>
      <w:u w:val="single"/>
    </w:rPr>
  </w:style>
  <w:style w:type="paragraph" w:customStyle="1" w:styleId="HeaderFooter">
    <w:name w:val="Header &amp; Footer"/>
    <w:rsid w:val="004B54D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4B54D7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sid w:val="004B54D7"/>
    <w:rPr>
      <w:rFonts w:ascii="Helvetica" w:eastAsia="Helvetica" w:hAnsi="Helvetica" w:cs="Helvetica"/>
      <w:color w:val="000000"/>
    </w:rPr>
  </w:style>
  <w:style w:type="paragraph" w:customStyle="1" w:styleId="Default">
    <w:name w:val="Default"/>
    <w:rsid w:val="004B54D7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chart" Target="charts/chart14.xml"/><Relationship Id="rId21" Type="http://schemas.openxmlformats.org/officeDocument/2006/relationships/chart" Target="charts/chart15.xml"/><Relationship Id="rId22" Type="http://schemas.openxmlformats.org/officeDocument/2006/relationships/chart" Target="charts/chart16.xml"/><Relationship Id="rId23" Type="http://schemas.openxmlformats.org/officeDocument/2006/relationships/chart" Target="charts/chart17.xml"/><Relationship Id="rId24" Type="http://schemas.openxmlformats.org/officeDocument/2006/relationships/chart" Target="charts/chart18.xml"/><Relationship Id="rId25" Type="http://schemas.openxmlformats.org/officeDocument/2006/relationships/chart" Target="charts/chart19.xml"/><Relationship Id="rId26" Type="http://schemas.openxmlformats.org/officeDocument/2006/relationships/chart" Target="charts/chart20.xml"/><Relationship Id="rId27" Type="http://schemas.openxmlformats.org/officeDocument/2006/relationships/chart" Target="charts/chart21.xml"/><Relationship Id="rId28" Type="http://schemas.openxmlformats.org/officeDocument/2006/relationships/chart" Target="charts/chart22.xml"/><Relationship Id="rId29" Type="http://schemas.openxmlformats.org/officeDocument/2006/relationships/chart" Target="charts/chart23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chart" Target="charts/chart1.xml"/><Relationship Id="rId30" Type="http://schemas.openxmlformats.org/officeDocument/2006/relationships/chart" Target="charts/chart24.xml"/><Relationship Id="rId31" Type="http://schemas.openxmlformats.org/officeDocument/2006/relationships/chart" Target="charts/chart25.xml"/><Relationship Id="rId32" Type="http://schemas.openxmlformats.org/officeDocument/2006/relationships/chart" Target="charts/chart26.xml"/><Relationship Id="rId9" Type="http://schemas.openxmlformats.org/officeDocument/2006/relationships/chart" Target="charts/chart3.xml"/><Relationship Id="rId6" Type="http://schemas.openxmlformats.org/officeDocument/2006/relationships/image" Target="media/image2.png"/><Relationship Id="rId7" Type="http://schemas.openxmlformats.org/officeDocument/2006/relationships/chart" Target="charts/chart2.xml"/><Relationship Id="rId8" Type="http://schemas.openxmlformats.org/officeDocument/2006/relationships/image" Target="media/image3.png"/><Relationship Id="rId33" Type="http://schemas.openxmlformats.org/officeDocument/2006/relationships/chart" Target="charts/chart27.xml"/><Relationship Id="rId34" Type="http://schemas.openxmlformats.org/officeDocument/2006/relationships/chart" Target="charts/chart28.xml"/><Relationship Id="rId35" Type="http://schemas.openxmlformats.org/officeDocument/2006/relationships/chart" Target="charts/chart29.xml"/><Relationship Id="rId36" Type="http://schemas.openxmlformats.org/officeDocument/2006/relationships/chart" Target="charts/chart30.xml"/><Relationship Id="rId10" Type="http://schemas.openxmlformats.org/officeDocument/2006/relationships/chart" Target="charts/chart4.xml"/><Relationship Id="rId11" Type="http://schemas.openxmlformats.org/officeDocument/2006/relationships/chart" Target="charts/chart5.xml"/><Relationship Id="rId12" Type="http://schemas.openxmlformats.org/officeDocument/2006/relationships/chart" Target="charts/chart6.xml"/><Relationship Id="rId13" Type="http://schemas.openxmlformats.org/officeDocument/2006/relationships/chart" Target="charts/chart7.xml"/><Relationship Id="rId14" Type="http://schemas.openxmlformats.org/officeDocument/2006/relationships/chart" Target="charts/chart8.xml"/><Relationship Id="rId15" Type="http://schemas.openxmlformats.org/officeDocument/2006/relationships/chart" Target="charts/chart9.xml"/><Relationship Id="rId16" Type="http://schemas.openxmlformats.org/officeDocument/2006/relationships/chart" Target="charts/chart10.xml"/><Relationship Id="rId17" Type="http://schemas.openxmlformats.org/officeDocument/2006/relationships/chart" Target="charts/chart11.xml"/><Relationship Id="rId18" Type="http://schemas.openxmlformats.org/officeDocument/2006/relationships/chart" Target="charts/chart12.xml"/><Relationship Id="rId19" Type="http://schemas.openxmlformats.org/officeDocument/2006/relationships/chart" Target="charts/chart13.xml"/><Relationship Id="rId37" Type="http://schemas.openxmlformats.org/officeDocument/2006/relationships/chart" Target="charts/chart31.xml"/><Relationship Id="rId38" Type="http://schemas.openxmlformats.org/officeDocument/2006/relationships/chart" Target="charts/chart32.xml"/><Relationship Id="rId39" Type="http://schemas.openxmlformats.org/officeDocument/2006/relationships/chart" Target="charts/chart33.xml"/><Relationship Id="rId40" Type="http://schemas.openxmlformats.org/officeDocument/2006/relationships/chart" Target="charts/chart34.xml"/><Relationship Id="rId41" Type="http://schemas.openxmlformats.org/officeDocument/2006/relationships/chart" Target="charts/chart35.xml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5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205702"/>
          <c:y val="0.0802353"/>
          <c:w val="0.781534"/>
          <c:h val="0.779376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</c:strRef>
          </c:tx>
          <c:spPr>
            <a:solidFill>
              <a:srgbClr val="646397"/>
            </a:solidFill>
            <a:ln w="9525" cap="flat">
              <a:solidFill>
                <a:srgbClr val="F9F9F9"/>
              </a:solidFill>
              <a:prstDash val="solid"/>
              <a:round/>
            </a:ln>
            <a:effectLst>
              <a:outerShdw blurRad="38100" dist="20000" dir="5400000" algn="tl">
                <a:srgbClr val="000000">
                  <a:alpha val="38000"/>
                </a:srgbClr>
              </a:outerShdw>
            </a:effectLst>
          </c:spPr>
          <c:cat>
            <c:strRef>
              <c:f>Sheet1!$A$2:$A$5</c:f>
              <c:strCache>
                <c:ptCount val="4"/>
                <c:pt idx="0">
                  <c:v>Trust</c:v>
                </c:pt>
                <c:pt idx="1">
                  <c:v>Purpose</c:v>
                </c:pt>
                <c:pt idx="2">
                  <c:v>Talent</c:v>
                </c:pt>
                <c:pt idx="3">
                  <c:v>Systems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3.9</c:v>
                </c:pt>
                <c:pt idx="1">
                  <c:v>3.9</c:v>
                </c:pt>
                <c:pt idx="2">
                  <c:v>3.6</c:v>
                </c:pt>
                <c:pt idx="3">
                  <c:v>3.6</c:v>
                </c:pt>
              </c:numCache>
            </c:numRef>
          </c:val>
        </c:ser>
        <c:gapWidth val="30"/>
        <c:axId val="304554824"/>
        <c:axId val="304478152"/>
      </c:barChart>
      <c:catAx>
        <c:axId val="304554824"/>
        <c:scaling>
          <c:orientation val="maxMin"/>
        </c:scaling>
        <c:axPos val="l"/>
        <c:numFmt formatCode="0.00" sourceLinked="0"/>
        <c:tickLblPos val="nextTo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060" b="0" i="0" u="none" strike="noStrike">
                <a:solidFill>
                  <a:srgbClr val="000000"/>
                </a:solidFill>
                <a:latin typeface="Cambria"/>
              </a:defRPr>
            </a:pPr>
            <a:endParaRPr lang="en-US"/>
          </a:p>
        </c:txPr>
        <c:crossAx val="304478152"/>
        <c:crosses val="autoZero"/>
        <c:auto val="1"/>
        <c:lblAlgn val="ctr"/>
        <c:lblOffset val="100"/>
        <c:noMultiLvlLbl val="1"/>
      </c:catAx>
      <c:valAx>
        <c:axId val="304478152"/>
        <c:scaling>
          <c:orientation val="minMax"/>
          <c:max val="5.0"/>
          <c:min val="0.0"/>
        </c:scaling>
        <c:axPos val="t"/>
        <c:majorGridlines>
          <c:spPr>
            <a:ln w="12700" cap="flat">
              <a:solidFill>
                <a:srgbClr val="888888"/>
              </a:solidFill>
              <a:prstDash val="solid"/>
              <a:round/>
            </a:ln>
          </c:spPr>
        </c:majorGridlines>
        <c:numFmt formatCode="General" sourceLinked="0"/>
        <c:tickLblPos val="high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060" b="0" i="0" u="none" strike="noStrike">
                <a:solidFill>
                  <a:srgbClr val="000000"/>
                </a:solidFill>
                <a:latin typeface="Cambria"/>
              </a:defRPr>
            </a:pPr>
            <a:endParaRPr lang="en-US"/>
          </a:p>
        </c:txPr>
        <c:crossAx val="304554824"/>
        <c:crosses val="autoZero"/>
        <c:crossBetween val="between"/>
        <c:majorUnit val="1.0"/>
        <c:minorUnit val="0.5"/>
      </c:valAx>
      <c:spPr>
        <a:solidFill>
          <a:srgbClr val="FFFFFF"/>
        </a:solidFill>
        <a:ln w="12700" cap="flat">
          <a:solidFill>
            <a:srgbClr val="888888"/>
          </a:solidFill>
          <a:prstDash val="solid"/>
          <a:round/>
        </a:ln>
        <a:effectLst/>
      </c:spPr>
    </c:plotArea>
    <c:plotVisOnly val="1"/>
    <c:dispBlanksAs val="gap"/>
  </c:chart>
  <c:spPr>
    <a:solidFill>
      <a:srgbClr val="FFFFFF"/>
    </a:solidFill>
    <a:ln w="12700" cap="flat">
      <a:solidFill>
        <a:srgbClr val="888888"/>
      </a:solidFill>
      <a:prstDash val="solid"/>
      <a:round/>
    </a:ln>
    <a:effectLst/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3.52</c:v>
                </c:pt>
              </c:numCache>
            </c:numRef>
          </c:val>
        </c:ser>
        <c:gapWidth val="50"/>
        <c:overlap val="-10"/>
        <c:axId val="388958424"/>
        <c:axId val="388961928"/>
      </c:barChart>
      <c:catAx>
        <c:axId val="38895842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961928"/>
        <c:crosses val="autoZero"/>
        <c:auto val="1"/>
        <c:lblAlgn val="ctr"/>
        <c:lblOffset val="100"/>
        <c:noMultiLvlLbl val="1"/>
      </c:catAx>
      <c:valAx>
        <c:axId val="38896192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95842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3.57</c:v>
                </c:pt>
              </c:numCache>
            </c:numRef>
          </c:val>
        </c:ser>
        <c:gapWidth val="50"/>
        <c:overlap val="-10"/>
        <c:axId val="304498712"/>
        <c:axId val="304914984"/>
      </c:barChart>
      <c:catAx>
        <c:axId val="304498712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914984"/>
        <c:crosses val="autoZero"/>
        <c:auto val="1"/>
        <c:lblAlgn val="ctr"/>
        <c:lblOffset val="100"/>
        <c:noMultiLvlLbl val="1"/>
      </c:catAx>
      <c:valAx>
        <c:axId val="30491498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498712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3.71</c:v>
                </c:pt>
              </c:numCache>
            </c:numRef>
          </c:val>
        </c:ser>
        <c:gapWidth val="50"/>
        <c:overlap val="-10"/>
        <c:axId val="304776088"/>
        <c:axId val="304839176"/>
      </c:barChart>
      <c:catAx>
        <c:axId val="30477608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839176"/>
        <c:crosses val="autoZero"/>
        <c:auto val="1"/>
        <c:lblAlgn val="ctr"/>
        <c:lblOffset val="100"/>
        <c:noMultiLvlLbl val="1"/>
      </c:catAx>
      <c:valAx>
        <c:axId val="30483917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77608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3.38</c:v>
                </c:pt>
              </c:numCache>
            </c:numRef>
          </c:val>
        </c:ser>
        <c:gapWidth val="50"/>
        <c:overlap val="-10"/>
        <c:axId val="305088984"/>
        <c:axId val="382797864"/>
      </c:barChart>
      <c:catAx>
        <c:axId val="30508898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2797864"/>
        <c:crosses val="autoZero"/>
        <c:auto val="1"/>
        <c:lblAlgn val="ctr"/>
        <c:lblOffset val="100"/>
        <c:noMultiLvlLbl val="1"/>
      </c:catAx>
      <c:valAx>
        <c:axId val="38279786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508898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2.86</c:v>
                </c:pt>
              </c:numCache>
            </c:numRef>
          </c:val>
        </c:ser>
        <c:gapWidth val="50"/>
        <c:overlap val="-10"/>
        <c:axId val="429079016"/>
        <c:axId val="429426488"/>
      </c:barChart>
      <c:catAx>
        <c:axId val="429079016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426488"/>
        <c:crosses val="autoZero"/>
        <c:auto val="1"/>
        <c:lblAlgn val="ctr"/>
        <c:lblOffset val="100"/>
        <c:noMultiLvlLbl val="1"/>
      </c:catAx>
      <c:valAx>
        <c:axId val="42942648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079016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gapWidth val="50"/>
        <c:overlap val="-10"/>
        <c:axId val="429041944"/>
        <c:axId val="429436744"/>
      </c:barChart>
      <c:catAx>
        <c:axId val="42904194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436744"/>
        <c:crosses val="autoZero"/>
        <c:auto val="1"/>
        <c:lblAlgn val="ctr"/>
        <c:lblOffset val="100"/>
        <c:noMultiLvlLbl val="1"/>
      </c:catAx>
      <c:valAx>
        <c:axId val="42943674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04194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3.29</c:v>
                </c:pt>
              </c:numCache>
            </c:numRef>
          </c:val>
        </c:ser>
        <c:gapWidth val="50"/>
        <c:overlap val="-10"/>
        <c:axId val="429535736"/>
        <c:axId val="429379368"/>
      </c:barChart>
      <c:catAx>
        <c:axId val="429535736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379368"/>
        <c:crosses val="autoZero"/>
        <c:auto val="1"/>
        <c:lblAlgn val="ctr"/>
        <c:lblOffset val="100"/>
        <c:noMultiLvlLbl val="1"/>
      </c:catAx>
      <c:valAx>
        <c:axId val="42937936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535736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3.81</c:v>
                </c:pt>
              </c:numCache>
            </c:numRef>
          </c:val>
        </c:ser>
        <c:gapWidth val="50"/>
        <c:overlap val="-10"/>
        <c:axId val="304132360"/>
        <c:axId val="304158440"/>
      </c:barChart>
      <c:catAx>
        <c:axId val="304132360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158440"/>
        <c:crosses val="autoZero"/>
        <c:auto val="1"/>
        <c:lblAlgn val="ctr"/>
        <c:lblOffset val="100"/>
        <c:noMultiLvlLbl val="1"/>
      </c:catAx>
      <c:valAx>
        <c:axId val="304158440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132360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3.19</c:v>
                </c:pt>
              </c:numCache>
            </c:numRef>
          </c:val>
        </c:ser>
        <c:gapWidth val="50"/>
        <c:overlap val="-10"/>
        <c:axId val="305064488"/>
        <c:axId val="305070888"/>
      </c:barChart>
      <c:catAx>
        <c:axId val="30506448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5070888"/>
        <c:crosses val="autoZero"/>
        <c:auto val="1"/>
        <c:lblAlgn val="ctr"/>
        <c:lblOffset val="100"/>
        <c:noMultiLvlLbl val="1"/>
      </c:catAx>
      <c:valAx>
        <c:axId val="30507088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506448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4.29</c:v>
                </c:pt>
              </c:numCache>
            </c:numRef>
          </c:val>
        </c:ser>
        <c:gapWidth val="50"/>
        <c:overlap val="-10"/>
        <c:axId val="305004376"/>
        <c:axId val="304996696"/>
      </c:barChart>
      <c:catAx>
        <c:axId val="305004376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996696"/>
        <c:crosses val="autoZero"/>
        <c:auto val="1"/>
        <c:lblAlgn val="ctr"/>
        <c:lblOffset val="100"/>
        <c:noMultiLvlLbl val="1"/>
      </c:catAx>
      <c:valAx>
        <c:axId val="30499669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5004376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272402"/>
          <c:y val="0.0802353"/>
          <c:w val="0.715906"/>
          <c:h val="0.779376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</c:strRef>
          </c:tx>
          <c:spPr>
            <a:solidFill>
              <a:srgbClr val="646397"/>
            </a:solidFill>
            <a:ln w="9525" cap="flat">
              <a:solidFill>
                <a:srgbClr val="F9F9F9"/>
              </a:solidFill>
              <a:prstDash val="solid"/>
              <a:round/>
            </a:ln>
            <a:effectLst>
              <a:outerShdw blurRad="38100" dist="20000" dir="5400000" algn="tl">
                <a:srgbClr val="000000">
                  <a:alpha val="38000"/>
                </a:srgbClr>
              </a:outerShdw>
            </a:effectLst>
          </c:spPr>
          <c:cat>
            <c:strRef>
              <c:f>Sheet1!$A$2:$A$6</c:f>
              <c:strCache>
                <c:ptCount val="5"/>
                <c:pt idx="0">
                  <c:v>Results</c:v>
                </c:pt>
                <c:pt idx="1">
                  <c:v>Accountability</c:v>
                </c:pt>
                <c:pt idx="2">
                  <c:v>Committment</c:v>
                </c:pt>
                <c:pt idx="3">
                  <c:v>Conflict</c:v>
                </c:pt>
                <c:pt idx="4">
                  <c:v>Trust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3.8</c:v>
                </c:pt>
                <c:pt idx="1">
                  <c:v>3.8</c:v>
                </c:pt>
                <c:pt idx="2">
                  <c:v>4.0</c:v>
                </c:pt>
                <c:pt idx="3">
                  <c:v>3.5</c:v>
                </c:pt>
                <c:pt idx="4">
                  <c:v>3.4</c:v>
                </c:pt>
              </c:numCache>
            </c:numRef>
          </c:val>
        </c:ser>
        <c:gapWidth val="30"/>
        <c:axId val="357581496"/>
        <c:axId val="320735720"/>
      </c:barChart>
      <c:catAx>
        <c:axId val="357581496"/>
        <c:scaling>
          <c:orientation val="maxMin"/>
        </c:scaling>
        <c:axPos val="l"/>
        <c:numFmt formatCode="0.00" sourceLinked="0"/>
        <c:tickLblPos val="nextTo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060" b="0" i="0" u="none" strike="noStrike">
                <a:solidFill>
                  <a:srgbClr val="000000"/>
                </a:solidFill>
                <a:latin typeface="Cambria"/>
              </a:defRPr>
            </a:pPr>
            <a:endParaRPr lang="en-US"/>
          </a:p>
        </c:txPr>
        <c:crossAx val="320735720"/>
        <c:crosses val="autoZero"/>
        <c:auto val="1"/>
        <c:lblAlgn val="ctr"/>
        <c:lblOffset val="100"/>
        <c:noMultiLvlLbl val="1"/>
      </c:catAx>
      <c:valAx>
        <c:axId val="320735720"/>
        <c:scaling>
          <c:orientation val="minMax"/>
          <c:max val="5.0"/>
          <c:min val="0.0"/>
        </c:scaling>
        <c:axPos val="t"/>
        <c:majorGridlines>
          <c:spPr>
            <a:ln w="12700" cap="flat">
              <a:solidFill>
                <a:srgbClr val="888888"/>
              </a:solidFill>
              <a:prstDash val="solid"/>
              <a:round/>
            </a:ln>
          </c:spPr>
        </c:majorGridlines>
        <c:numFmt formatCode="General" sourceLinked="0"/>
        <c:tickLblPos val="high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060" b="0" i="0" u="none" strike="noStrike">
                <a:solidFill>
                  <a:srgbClr val="000000"/>
                </a:solidFill>
                <a:latin typeface="Cambria"/>
              </a:defRPr>
            </a:pPr>
            <a:endParaRPr lang="en-US"/>
          </a:p>
        </c:txPr>
        <c:crossAx val="357581496"/>
        <c:crosses val="autoZero"/>
        <c:crossBetween val="between"/>
        <c:majorUnit val="1.0"/>
        <c:minorUnit val="0.5"/>
      </c:valAx>
      <c:spPr>
        <a:solidFill>
          <a:srgbClr val="FFFFFF"/>
        </a:solidFill>
        <a:ln w="12700" cap="flat">
          <a:solidFill>
            <a:srgbClr val="888888"/>
          </a:solidFill>
          <a:prstDash val="solid"/>
          <a:round/>
        </a:ln>
        <a:effectLst/>
      </c:spPr>
    </c:plotArea>
    <c:plotVisOnly val="1"/>
    <c:dispBlanksAs val="gap"/>
  </c:chart>
  <c:spPr>
    <a:solidFill>
      <a:srgbClr val="FFFFFF"/>
    </a:solidFill>
    <a:ln w="12700" cap="flat">
      <a:solidFill>
        <a:srgbClr val="888888"/>
      </a:solidFill>
      <a:prstDash val="solid"/>
      <a:round/>
    </a:ln>
    <a:effectLst/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4.0</c:v>
                </c:pt>
              </c:numCache>
            </c:numRef>
          </c:val>
        </c:ser>
        <c:gapWidth val="50"/>
        <c:overlap val="-10"/>
        <c:axId val="304865560"/>
        <c:axId val="304836552"/>
      </c:barChart>
      <c:catAx>
        <c:axId val="304865560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836552"/>
        <c:crosses val="autoZero"/>
        <c:auto val="1"/>
        <c:lblAlgn val="ctr"/>
        <c:lblOffset val="100"/>
        <c:noMultiLvlLbl val="1"/>
      </c:catAx>
      <c:valAx>
        <c:axId val="304836552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865560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3.52</c:v>
                </c:pt>
              </c:numCache>
            </c:numRef>
          </c:val>
        </c:ser>
        <c:gapWidth val="50"/>
        <c:overlap val="-10"/>
        <c:axId val="304716504"/>
        <c:axId val="304664136"/>
      </c:barChart>
      <c:catAx>
        <c:axId val="30471650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664136"/>
        <c:crosses val="autoZero"/>
        <c:auto val="1"/>
        <c:lblAlgn val="ctr"/>
        <c:lblOffset val="100"/>
        <c:noMultiLvlLbl val="1"/>
      </c:catAx>
      <c:valAx>
        <c:axId val="30466413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71650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4.14</c:v>
                </c:pt>
              </c:numCache>
            </c:numRef>
          </c:val>
        </c:ser>
        <c:gapWidth val="50"/>
        <c:overlap val="-10"/>
        <c:axId val="388999128"/>
        <c:axId val="389002632"/>
      </c:barChart>
      <c:catAx>
        <c:axId val="38899912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9002632"/>
        <c:crosses val="autoZero"/>
        <c:auto val="1"/>
        <c:lblAlgn val="ctr"/>
        <c:lblOffset val="100"/>
        <c:noMultiLvlLbl val="1"/>
      </c:catAx>
      <c:valAx>
        <c:axId val="389002632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99912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3.57</c:v>
                </c:pt>
              </c:numCache>
            </c:numRef>
          </c:val>
        </c:ser>
        <c:gapWidth val="50"/>
        <c:overlap val="-10"/>
        <c:axId val="388656552"/>
        <c:axId val="303613672"/>
      </c:barChart>
      <c:catAx>
        <c:axId val="388656552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3613672"/>
        <c:crosses val="autoZero"/>
        <c:auto val="1"/>
        <c:lblAlgn val="ctr"/>
        <c:lblOffset val="100"/>
        <c:noMultiLvlLbl val="1"/>
      </c:catAx>
      <c:valAx>
        <c:axId val="303613672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656552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3.76</c:v>
                </c:pt>
              </c:numCache>
            </c:numRef>
          </c:val>
        </c:ser>
        <c:gapWidth val="50"/>
        <c:overlap val="-10"/>
        <c:axId val="304424104"/>
        <c:axId val="429289624"/>
      </c:barChart>
      <c:catAx>
        <c:axId val="30442410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289624"/>
        <c:crosses val="autoZero"/>
        <c:auto val="1"/>
        <c:lblAlgn val="ctr"/>
        <c:lblOffset val="100"/>
        <c:noMultiLvlLbl val="1"/>
      </c:catAx>
      <c:valAx>
        <c:axId val="42928962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442410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4.43</c:v>
                </c:pt>
              </c:numCache>
            </c:numRef>
          </c:val>
        </c:ser>
        <c:gapWidth val="50"/>
        <c:overlap val="-10"/>
        <c:axId val="320740648"/>
        <c:axId val="320744536"/>
      </c:barChart>
      <c:catAx>
        <c:axId val="32074064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20744536"/>
        <c:crosses val="autoZero"/>
        <c:auto val="1"/>
        <c:lblAlgn val="ctr"/>
        <c:lblOffset val="100"/>
        <c:noMultiLvlLbl val="1"/>
      </c:catAx>
      <c:valAx>
        <c:axId val="32074453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2074064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4.38</c:v>
                </c:pt>
              </c:numCache>
            </c:numRef>
          </c:val>
        </c:ser>
        <c:gapWidth val="50"/>
        <c:overlap val="-10"/>
        <c:axId val="320615800"/>
        <c:axId val="428882744"/>
      </c:barChart>
      <c:catAx>
        <c:axId val="320615800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8882744"/>
        <c:crosses val="autoZero"/>
        <c:auto val="1"/>
        <c:lblAlgn val="ctr"/>
        <c:lblOffset val="100"/>
        <c:noMultiLvlLbl val="1"/>
      </c:catAx>
      <c:valAx>
        <c:axId val="42888274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20615800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3.38</c:v>
                </c:pt>
              </c:numCache>
            </c:numRef>
          </c:val>
        </c:ser>
        <c:gapWidth val="50"/>
        <c:overlap val="-10"/>
        <c:axId val="320818792"/>
        <c:axId val="320822296"/>
      </c:barChart>
      <c:catAx>
        <c:axId val="320818792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20822296"/>
        <c:crosses val="autoZero"/>
        <c:auto val="1"/>
        <c:lblAlgn val="ctr"/>
        <c:lblOffset val="100"/>
        <c:noMultiLvlLbl val="1"/>
      </c:catAx>
      <c:valAx>
        <c:axId val="32082229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20818792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gapWidth val="50"/>
        <c:overlap val="-10"/>
        <c:axId val="429176008"/>
        <c:axId val="429431064"/>
      </c:barChart>
      <c:catAx>
        <c:axId val="42917600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431064"/>
        <c:crosses val="autoZero"/>
        <c:auto val="1"/>
        <c:lblAlgn val="ctr"/>
        <c:lblOffset val="100"/>
        <c:noMultiLvlLbl val="1"/>
      </c:catAx>
      <c:valAx>
        <c:axId val="42943106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42917600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3.81</c:v>
                </c:pt>
              </c:numCache>
            </c:numRef>
          </c:val>
        </c:ser>
        <c:gapWidth val="50"/>
        <c:overlap val="-10"/>
        <c:axId val="388702984"/>
        <c:axId val="388706488"/>
      </c:barChart>
      <c:catAx>
        <c:axId val="38870298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706488"/>
        <c:crosses val="autoZero"/>
        <c:auto val="1"/>
        <c:lblAlgn val="ctr"/>
        <c:lblOffset val="100"/>
        <c:noMultiLvlLbl val="1"/>
      </c:catAx>
      <c:valAx>
        <c:axId val="38870648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70298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318656"/>
          <c:y val="0.0221477"/>
          <c:w val="0.674212"/>
          <c:h val="0.929538"/>
        </c:manualLayout>
      </c:layout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Untitled 2</c:v>
                </c:pt>
              </c:strCache>
            </c:strRef>
          </c:tx>
          <c:spPr>
            <a:solidFill>
              <a:srgbClr val="646397"/>
            </a:solidFill>
            <a:ln w="9525" cap="flat">
              <a:solidFill>
                <a:srgbClr val="F9F9F9"/>
              </a:solidFill>
              <a:prstDash val="solid"/>
              <a:round/>
            </a:ln>
            <a:effectLst>
              <a:outerShdw blurRad="38100" dist="20000" dir="5400000" algn="tl">
                <a:srgbClr val="000000">
                  <a:alpha val="38000"/>
                </a:srgbClr>
              </a:outerShdw>
            </a:effectLst>
          </c:spPr>
          <c:cat>
            <c:strRef>
              <c:f>Sheet1!$A$2:$A$34</c:f>
              <c:strCache>
                <c:ptCount val="33"/>
                <c:pt idx="0">
                  <c:v>11. Recognised and Rewarded</c:v>
                </c:pt>
                <c:pt idx="1">
                  <c:v>30. Development Opportunities</c:v>
                </c:pt>
                <c:pt idx="2">
                  <c:v>31. Leaning and Development</c:v>
                </c:pt>
                <c:pt idx="3">
                  <c:v>15. Paid Fairly</c:v>
                </c:pt>
                <c:pt idx="4">
                  <c:v>13. Customer Focus</c:v>
                </c:pt>
                <c:pt idx="5">
                  <c:v>10. Clear Performance Measures</c:v>
                </c:pt>
                <c:pt idx="6">
                  <c:v>24. Personal Progression</c:v>
                </c:pt>
                <c:pt idx="7">
                  <c:v>27. Enabling Potential</c:v>
                </c:pt>
                <c:pt idx="8">
                  <c:v>29. Developmental Feedback</c:v>
                </c:pt>
                <c:pt idx="9">
                  <c:v>7. Involvement</c:v>
                </c:pt>
                <c:pt idx="10">
                  <c:v>18. Autonomy</c:v>
                </c:pt>
                <c:pt idx="11">
                  <c:v>8. Customer Focussed</c:v>
                </c:pt>
                <c:pt idx="12">
                  <c:v>20. Personal Development</c:v>
                </c:pt>
                <c:pt idx="13">
                  <c:v>3. Dedicated Team</c:v>
                </c:pt>
                <c:pt idx="14">
                  <c:v>9. Financial Success Impact</c:v>
                </c:pt>
                <c:pt idx="15">
                  <c:v>2. Clear Objectives</c:v>
                </c:pt>
                <c:pt idx="16">
                  <c:v>4. Organisational Success</c:v>
                </c:pt>
                <c:pt idx="17">
                  <c:v>21. Opinions Count</c:v>
                </c:pt>
                <c:pt idx="18">
                  <c:v>33. Open To Challenge</c:v>
                </c:pt>
                <c:pt idx="19">
                  <c:v>14. Systems &amp; Processes</c:v>
                </c:pt>
                <c:pt idx="20">
                  <c:v>26. Clear Measures</c:v>
                </c:pt>
                <c:pt idx="21">
                  <c:v>28. Open and Honest</c:v>
                </c:pt>
                <c:pt idx="22">
                  <c:v>32. Help and Support</c:v>
                </c:pt>
                <c:pt idx="23">
                  <c:v>5. Personal Responsibility</c:v>
                </c:pt>
                <c:pt idx="24">
                  <c:v>12. Right People/Right Job</c:v>
                </c:pt>
                <c:pt idx="25">
                  <c:v>25. Growth Opportunities</c:v>
                </c:pt>
                <c:pt idx="26">
                  <c:v>6. Open Discussion</c:v>
                </c:pt>
                <c:pt idx="27">
                  <c:v>17. Materials and Equipment</c:v>
                </c:pt>
                <c:pt idx="28">
                  <c:v>1. Open Feedback</c:v>
                </c:pt>
                <c:pt idx="29">
                  <c:v>19. Cared About</c:v>
                </c:pt>
                <c:pt idx="30">
                  <c:v>16. Clear Expectations</c:v>
                </c:pt>
                <c:pt idx="31">
                  <c:v>23. Team Commitment</c:v>
                </c:pt>
                <c:pt idx="32">
                  <c:v>22. Mission/Purpose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2.857143</c:v>
                </c:pt>
                <c:pt idx="1">
                  <c:v>2.952381</c:v>
                </c:pt>
                <c:pt idx="2">
                  <c:v>3.0</c:v>
                </c:pt>
                <c:pt idx="3">
                  <c:v>3.190476</c:v>
                </c:pt>
                <c:pt idx="4">
                  <c:v>3.285714</c:v>
                </c:pt>
                <c:pt idx="5">
                  <c:v>3.380952</c:v>
                </c:pt>
                <c:pt idx="6">
                  <c:v>3.380952</c:v>
                </c:pt>
                <c:pt idx="7">
                  <c:v>3.380952</c:v>
                </c:pt>
                <c:pt idx="8">
                  <c:v>3.380952</c:v>
                </c:pt>
                <c:pt idx="9">
                  <c:v>3.52381</c:v>
                </c:pt>
                <c:pt idx="10">
                  <c:v>3.52381</c:v>
                </c:pt>
                <c:pt idx="11">
                  <c:v>3.571429</c:v>
                </c:pt>
                <c:pt idx="12">
                  <c:v>3.571429</c:v>
                </c:pt>
                <c:pt idx="13">
                  <c:v>3.714286</c:v>
                </c:pt>
                <c:pt idx="14">
                  <c:v>3.714286</c:v>
                </c:pt>
                <c:pt idx="15">
                  <c:v>3.761905</c:v>
                </c:pt>
                <c:pt idx="16">
                  <c:v>3.761905</c:v>
                </c:pt>
                <c:pt idx="17">
                  <c:v>3.761905</c:v>
                </c:pt>
                <c:pt idx="18">
                  <c:v>3.761905</c:v>
                </c:pt>
                <c:pt idx="19">
                  <c:v>3.809524</c:v>
                </c:pt>
                <c:pt idx="20">
                  <c:v>3.809524</c:v>
                </c:pt>
                <c:pt idx="21">
                  <c:v>3.809524</c:v>
                </c:pt>
                <c:pt idx="22">
                  <c:v>3.809524</c:v>
                </c:pt>
                <c:pt idx="23">
                  <c:v>3.857143</c:v>
                </c:pt>
                <c:pt idx="24">
                  <c:v>3.904762</c:v>
                </c:pt>
                <c:pt idx="25">
                  <c:v>3.904762</c:v>
                </c:pt>
                <c:pt idx="26">
                  <c:v>4.0</c:v>
                </c:pt>
                <c:pt idx="27">
                  <c:v>4.0</c:v>
                </c:pt>
                <c:pt idx="28">
                  <c:v>4.095238</c:v>
                </c:pt>
                <c:pt idx="29">
                  <c:v>4.142856999999999</c:v>
                </c:pt>
                <c:pt idx="30">
                  <c:v>4.285714</c:v>
                </c:pt>
                <c:pt idx="31">
                  <c:v>4.380952</c:v>
                </c:pt>
                <c:pt idx="32">
                  <c:v>4.428571</c:v>
                </c:pt>
              </c:numCache>
            </c:numRef>
          </c:val>
        </c:ser>
        <c:gapWidth val="30"/>
        <c:axId val="278753624"/>
        <c:axId val="358277320"/>
      </c:barChart>
      <c:catAx>
        <c:axId val="278753624"/>
        <c:scaling>
          <c:orientation val="maxMin"/>
        </c:scaling>
        <c:axPos val="l"/>
        <c:numFmt formatCode="0.0" sourceLinked="0"/>
        <c:tickLblPos val="nextTo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900" b="0" i="0" u="none" strike="noStrike">
                <a:solidFill>
                  <a:srgbClr val="000000"/>
                </a:solidFill>
                <a:latin typeface="Cambria"/>
              </a:defRPr>
            </a:pPr>
            <a:endParaRPr lang="en-US"/>
          </a:p>
        </c:txPr>
        <c:crossAx val="358277320"/>
        <c:crosses val="autoZero"/>
        <c:auto val="1"/>
        <c:lblAlgn val="ctr"/>
        <c:lblOffset val="100"/>
        <c:noMultiLvlLbl val="1"/>
      </c:catAx>
      <c:valAx>
        <c:axId val="358277320"/>
        <c:scaling>
          <c:orientation val="minMax"/>
          <c:max val="5.0"/>
        </c:scaling>
        <c:axPos val="t"/>
        <c:majorGridlines>
          <c:spPr>
            <a:ln w="12700" cap="flat">
              <a:solidFill>
                <a:srgbClr val="888888"/>
              </a:solidFill>
              <a:prstDash val="solid"/>
              <a:round/>
            </a:ln>
          </c:spPr>
        </c:majorGridlines>
        <c:numFmt formatCode="#,##0" sourceLinked="0"/>
        <c:tickLblPos val="high"/>
        <c:spPr>
          <a:ln w="12700" cap="flat">
            <a:solidFill>
              <a:srgbClr val="888888"/>
            </a:solidFill>
            <a:prstDash val="solid"/>
            <a:round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Cambria"/>
              </a:defRPr>
            </a:pPr>
            <a:endParaRPr lang="en-US"/>
          </a:p>
        </c:txPr>
        <c:crossAx val="278753624"/>
        <c:crosses val="autoZero"/>
        <c:crossBetween val="between"/>
        <c:majorUnit val="1.0"/>
        <c:minorUnit val="0.5"/>
      </c:valAx>
      <c:spPr>
        <a:solidFill>
          <a:srgbClr val="FFFFFF"/>
        </a:solidFill>
        <a:ln w="12700" cap="flat">
          <a:noFill/>
          <a:miter lim="400000"/>
        </a:ln>
        <a:effectLst/>
      </c:spPr>
    </c:plotArea>
    <c:plotVisOnly val="1"/>
    <c:dispBlanksAs val="gap"/>
  </c:chart>
  <c:spPr>
    <a:solidFill>
      <a:srgbClr val="FFFFFF"/>
    </a:solidFill>
    <a:ln w="12700" cap="flat">
      <a:solidFill>
        <a:srgbClr val="888888"/>
      </a:solidFill>
      <a:prstDash val="solid"/>
      <a:round/>
    </a:ln>
    <a:effectLst/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3.38</c:v>
                </c:pt>
              </c:numCache>
            </c:numRef>
          </c:val>
        </c:ser>
        <c:gapWidth val="50"/>
        <c:overlap val="-10"/>
        <c:axId val="388738120"/>
        <c:axId val="388741624"/>
      </c:barChart>
      <c:catAx>
        <c:axId val="388738120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741624"/>
        <c:crosses val="autoZero"/>
        <c:auto val="1"/>
        <c:lblAlgn val="ctr"/>
        <c:lblOffset val="100"/>
        <c:noMultiLvlLbl val="1"/>
      </c:catAx>
      <c:valAx>
        <c:axId val="38874162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738120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3.81</c:v>
                </c:pt>
              </c:numCache>
            </c:numRef>
          </c:val>
        </c:ser>
        <c:gapWidth val="50"/>
        <c:overlap val="-10"/>
        <c:axId val="388773736"/>
        <c:axId val="388777288"/>
      </c:barChart>
      <c:catAx>
        <c:axId val="388773736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777288"/>
        <c:crosses val="autoZero"/>
        <c:auto val="1"/>
        <c:lblAlgn val="ctr"/>
        <c:lblOffset val="100"/>
        <c:noMultiLvlLbl val="1"/>
      </c:catAx>
      <c:valAx>
        <c:axId val="38877728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773736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3.38</c:v>
                </c:pt>
              </c:numCache>
            </c:numRef>
          </c:val>
        </c:ser>
        <c:gapWidth val="50"/>
        <c:overlap val="-10"/>
        <c:axId val="388809416"/>
        <c:axId val="388812968"/>
      </c:barChart>
      <c:catAx>
        <c:axId val="388809416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12968"/>
        <c:crosses val="autoZero"/>
        <c:auto val="1"/>
        <c:lblAlgn val="ctr"/>
        <c:lblOffset val="100"/>
        <c:noMultiLvlLbl val="1"/>
      </c:catAx>
      <c:valAx>
        <c:axId val="38881296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09416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2.95</c:v>
                </c:pt>
              </c:numCache>
            </c:numRef>
          </c:val>
        </c:ser>
        <c:gapWidth val="50"/>
        <c:overlap val="-10"/>
        <c:axId val="388844744"/>
        <c:axId val="388848296"/>
      </c:barChart>
      <c:catAx>
        <c:axId val="38884474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48296"/>
        <c:crosses val="autoZero"/>
        <c:auto val="1"/>
        <c:lblAlgn val="ctr"/>
        <c:lblOffset val="100"/>
        <c:noMultiLvlLbl val="1"/>
      </c:catAx>
      <c:valAx>
        <c:axId val="38884829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4474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3.0</c:v>
                </c:pt>
              </c:numCache>
            </c:numRef>
          </c:val>
        </c:ser>
        <c:gapWidth val="50"/>
        <c:overlap val="-10"/>
        <c:axId val="357594328"/>
        <c:axId val="357597880"/>
      </c:barChart>
      <c:catAx>
        <c:axId val="35759432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57597880"/>
        <c:crosses val="autoZero"/>
        <c:auto val="1"/>
        <c:lblAlgn val="ctr"/>
        <c:lblOffset val="100"/>
        <c:noMultiLvlLbl val="1"/>
      </c:catAx>
      <c:valAx>
        <c:axId val="357597880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5759432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3.81</c:v>
                </c:pt>
              </c:numCache>
            </c:numRef>
          </c:val>
        </c:ser>
        <c:gapWidth val="50"/>
        <c:overlap val="-10"/>
        <c:axId val="357717688"/>
        <c:axId val="357788440"/>
      </c:barChart>
      <c:catAx>
        <c:axId val="35771768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57788440"/>
        <c:crosses val="autoZero"/>
        <c:auto val="1"/>
        <c:lblAlgn val="ctr"/>
        <c:lblOffset val="100"/>
        <c:noMultiLvlLbl val="1"/>
      </c:catAx>
      <c:valAx>
        <c:axId val="357788440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5771768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4.1</c:v>
                </c:pt>
              </c:numCache>
            </c:numRef>
          </c:val>
        </c:ser>
        <c:gapWidth val="50"/>
        <c:overlap val="-10"/>
        <c:axId val="358458008"/>
        <c:axId val="358358776"/>
      </c:barChart>
      <c:catAx>
        <c:axId val="35845800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58358776"/>
        <c:crosses val="autoZero"/>
        <c:auto val="1"/>
        <c:lblAlgn val="ctr"/>
        <c:lblOffset val="100"/>
        <c:noMultiLvlLbl val="1"/>
      </c:catAx>
      <c:valAx>
        <c:axId val="358358776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5845800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3.76</c:v>
                </c:pt>
              </c:numCache>
            </c:numRef>
          </c:val>
        </c:ser>
        <c:gapWidth val="50"/>
        <c:overlap val="-10"/>
        <c:axId val="303331912"/>
        <c:axId val="388236072"/>
      </c:barChart>
      <c:catAx>
        <c:axId val="303331912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236072"/>
        <c:crosses val="autoZero"/>
        <c:auto val="1"/>
        <c:lblAlgn val="ctr"/>
        <c:lblOffset val="100"/>
        <c:noMultiLvlLbl val="1"/>
      </c:catAx>
      <c:valAx>
        <c:axId val="388236072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3331912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3.71</c:v>
                </c:pt>
              </c:numCache>
            </c:numRef>
          </c:val>
        </c:ser>
        <c:gapWidth val="50"/>
        <c:overlap val="-10"/>
        <c:axId val="388609672"/>
        <c:axId val="388615128"/>
      </c:barChart>
      <c:catAx>
        <c:axId val="388609672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615128"/>
        <c:crosses val="autoZero"/>
        <c:auto val="1"/>
        <c:lblAlgn val="ctr"/>
        <c:lblOffset val="100"/>
        <c:noMultiLvlLbl val="1"/>
      </c:catAx>
      <c:valAx>
        <c:axId val="38861512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609672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3.76</c:v>
                </c:pt>
              </c:numCache>
            </c:numRef>
          </c:val>
        </c:ser>
        <c:gapWidth val="50"/>
        <c:overlap val="-10"/>
        <c:axId val="303135288"/>
        <c:axId val="388855944"/>
      </c:barChart>
      <c:catAx>
        <c:axId val="303135288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55944"/>
        <c:crosses val="autoZero"/>
        <c:auto val="1"/>
        <c:lblAlgn val="ctr"/>
        <c:lblOffset val="100"/>
        <c:noMultiLvlLbl val="1"/>
      </c:catAx>
      <c:valAx>
        <c:axId val="38885594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03135288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3.86</c:v>
                </c:pt>
              </c:numCache>
            </c:numRef>
          </c:val>
        </c:ser>
        <c:gapWidth val="50"/>
        <c:overlap val="-10"/>
        <c:axId val="388887960"/>
        <c:axId val="388891464"/>
      </c:barChart>
      <c:catAx>
        <c:axId val="388887960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91464"/>
        <c:crosses val="autoZero"/>
        <c:auto val="1"/>
        <c:lblAlgn val="ctr"/>
        <c:lblOffset val="100"/>
        <c:noMultiLvlLbl val="1"/>
      </c:catAx>
      <c:valAx>
        <c:axId val="388891464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887960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autoTitleDeleted val="1"/>
    <c:plotArea>
      <c:layout>
        <c:manualLayout>
          <c:layoutTarget val="inner"/>
          <c:xMode val="edge"/>
          <c:yMode val="edge"/>
          <c:x val="0.0311958"/>
          <c:y val="0.166667"/>
          <c:w val="0.962167"/>
          <c:h val="0.61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Region 1</c:v>
                </c:pt>
              </c:strCache>
            </c:strRef>
          </c:tx>
          <c:spPr>
            <a:gradFill flip="none" rotWithShape="1">
              <a:gsLst>
                <a:gs pos="0">
                  <a:srgbClr val="A6A5C2"/>
                </a:gs>
                <a:gs pos="100000">
                  <a:srgbClr val="646397"/>
                </a:gs>
              </a:gsLst>
              <a:lin ang="5400000" scaled="0"/>
            </a:gradFill>
            <a:ln w="12700" cap="flat">
              <a:noFill/>
              <a:miter lim="400000"/>
            </a:ln>
            <a:effectLst/>
          </c:spPr>
          <c:cat>
            <c:strRef>
              <c:f>Sheet1!$B$1:$B$1</c:f>
              <c:strCache>
                <c:ptCount val="1"/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4.0</c:v>
                </c:pt>
              </c:numCache>
            </c:numRef>
          </c:val>
        </c:ser>
        <c:gapWidth val="50"/>
        <c:overlap val="-10"/>
        <c:axId val="388923304"/>
        <c:axId val="388926808"/>
      </c:barChart>
      <c:catAx>
        <c:axId val="388923304"/>
        <c:scaling>
          <c:orientation val="maxMin"/>
        </c:scaling>
        <c:axPos val="l"/>
        <c:numFmt formatCode="General" sourceLinked="0"/>
        <c:majorTickMark val="none"/>
        <c:tickLblPos val="nextTo"/>
        <c:spPr>
          <a:ln w="12700" cap="flat">
            <a:solidFill>
              <a:srgbClr val="A9A9A9"/>
            </a:solidFill>
            <a:prstDash val="solid"/>
            <a:miter lim="400000"/>
          </a:ln>
        </c:spPr>
        <c:txPr>
          <a:bodyPr rot="0"/>
          <a:lstStyle/>
          <a:p>
            <a:pPr>
              <a:defRPr sz="10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926808"/>
        <c:crosses val="autoZero"/>
        <c:auto val="1"/>
        <c:lblAlgn val="ctr"/>
        <c:lblOffset val="100"/>
        <c:noMultiLvlLbl val="1"/>
      </c:catAx>
      <c:valAx>
        <c:axId val="388926808"/>
        <c:scaling>
          <c:orientation val="minMax"/>
          <c:max val="5.0"/>
        </c:scaling>
        <c:axPos val="t"/>
        <c:majorGridlines>
          <c:spPr>
            <a:ln w="3175" cap="flat">
              <a:solidFill>
                <a:srgbClr val="B8B8B8"/>
              </a:solidFill>
              <a:prstDash val="solid"/>
              <a:miter lim="400000"/>
            </a:ln>
          </c:spPr>
        </c:majorGridlines>
        <c:numFmt formatCode="General" sourceLinked="0"/>
        <c:majorTickMark val="none"/>
        <c:tickLblPos val="high"/>
        <c:spPr>
          <a:ln w="12700" cap="flat">
            <a:noFill/>
            <a:prstDash val="solid"/>
            <a:miter lim="400000"/>
          </a:ln>
        </c:spPr>
        <c:txPr>
          <a:bodyPr rot="0"/>
          <a:lstStyle/>
          <a:p>
            <a:pPr>
              <a:defRPr sz="700" b="0" i="0" u="none" strike="noStrike">
                <a:solidFill>
                  <a:srgbClr val="000000"/>
                </a:solidFill>
                <a:latin typeface="Helvetica"/>
              </a:defRPr>
            </a:pPr>
            <a:endParaRPr lang="en-US"/>
          </a:p>
        </c:txPr>
        <c:crossAx val="388923304"/>
        <c:crosses val="autoZero"/>
        <c:crossBetween val="between"/>
        <c:majorUnit val="1.0"/>
        <c:minorUnit val="0.5"/>
      </c:valAx>
      <c:spPr>
        <a:noFill/>
        <a:ln w="12700" cap="flat">
          <a:solidFill>
            <a:srgbClr val="A9A9A9"/>
          </a:solidFill>
          <a:prstDash val="solid"/>
          <a:miter lim="400000"/>
        </a:ln>
        <a:effectLst/>
      </c:spPr>
    </c:plotArea>
    <c:plotVisOnly val="1"/>
    <c:dispBlanksAs val="gap"/>
  </c:chart>
  <c:spPr>
    <a:noFill/>
    <a:ln>
      <a:noFill/>
    </a:ln>
    <a:effectLst/>
  </c:spPr>
  <c:externalData r:id="rId1"/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888</Words>
  <Characters>5065</Characters>
  <Application>Microsoft Macintosh Word</Application>
  <DocSecurity>0</DocSecurity>
  <Lines>42</Lines>
  <Paragraphs>10</Paragraphs>
  <ScaleCrop>false</ScaleCrop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Randall Preiser</cp:lastModifiedBy>
  <cp:revision>2</cp:revision>
  <dcterms:created xsi:type="dcterms:W3CDTF">2017-11-14T19:13:00Z</dcterms:created>
  <dcterms:modified xsi:type="dcterms:W3CDTF">2017-11-14T19:13:00Z</dcterms:modified>
</cp:coreProperties>
</file>